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E267" w14:textId="3CB5012E" w:rsidR="0055250B" w:rsidRDefault="0055250B" w:rsidP="0055250B">
      <w:pPr>
        <w:spacing w:after="0" w:line="480" w:lineRule="auto"/>
        <w:rPr>
          <w:rFonts w:ascii="Times New Roman" w:hAnsi="Times New Roman" w:cs="Times New Roman"/>
        </w:rPr>
      </w:pPr>
      <w:r>
        <w:rPr>
          <w:rFonts w:ascii="Times New Roman" w:hAnsi="Times New Roman" w:cs="Times New Roman"/>
        </w:rPr>
        <w:t>John Davies</w:t>
      </w:r>
    </w:p>
    <w:p w14:paraId="6D9D5A98" w14:textId="7A274A9E" w:rsidR="0055250B" w:rsidRDefault="0055250B" w:rsidP="0055250B">
      <w:pPr>
        <w:spacing w:after="0" w:line="480" w:lineRule="auto"/>
        <w:rPr>
          <w:rFonts w:ascii="Times New Roman" w:hAnsi="Times New Roman" w:cs="Times New Roman"/>
        </w:rPr>
      </w:pPr>
      <w:r>
        <w:rPr>
          <w:rFonts w:ascii="Times New Roman" w:hAnsi="Times New Roman" w:cs="Times New Roman"/>
        </w:rPr>
        <w:t>Dr. Michelle Fowler-Amato</w:t>
      </w:r>
    </w:p>
    <w:p w14:paraId="09C536F1" w14:textId="24582CC1" w:rsidR="0055250B" w:rsidRDefault="0055250B" w:rsidP="0055250B">
      <w:pPr>
        <w:spacing w:after="0" w:line="480" w:lineRule="auto"/>
        <w:rPr>
          <w:rFonts w:ascii="Times New Roman" w:hAnsi="Times New Roman" w:cs="Times New Roman"/>
        </w:rPr>
      </w:pPr>
      <w:r>
        <w:rPr>
          <w:rFonts w:ascii="Times New Roman" w:hAnsi="Times New Roman" w:cs="Times New Roman"/>
        </w:rPr>
        <w:t>ENGL 840: Empirical Research Methods</w:t>
      </w:r>
    </w:p>
    <w:p w14:paraId="20B491F0" w14:textId="312DF000" w:rsidR="0055250B" w:rsidRDefault="0055250B" w:rsidP="0055250B">
      <w:pPr>
        <w:spacing w:after="0" w:line="480" w:lineRule="auto"/>
        <w:rPr>
          <w:rFonts w:ascii="Times New Roman" w:hAnsi="Times New Roman" w:cs="Times New Roman"/>
        </w:rPr>
      </w:pPr>
      <w:r>
        <w:rPr>
          <w:rFonts w:ascii="Times New Roman" w:hAnsi="Times New Roman" w:cs="Times New Roman"/>
        </w:rPr>
        <w:t>11 May 2026</w:t>
      </w:r>
    </w:p>
    <w:p w14:paraId="2D78A1CB" w14:textId="77777777" w:rsidR="0055250B" w:rsidRDefault="0055250B" w:rsidP="0055250B">
      <w:pPr>
        <w:spacing w:after="0" w:line="480" w:lineRule="auto"/>
        <w:jc w:val="center"/>
        <w:rPr>
          <w:rFonts w:ascii="Times New Roman" w:hAnsi="Times New Roman" w:cs="Times New Roman"/>
        </w:rPr>
      </w:pPr>
      <w:r>
        <w:rPr>
          <w:rFonts w:ascii="Times New Roman" w:hAnsi="Times New Roman" w:cs="Times New Roman"/>
        </w:rPr>
        <w:t xml:space="preserve">Small-Scale Qualitative Inquiry/Comics Fandom in 2SLGBTQIA+ Communities: </w:t>
      </w:r>
    </w:p>
    <w:p w14:paraId="6BBD0C64" w14:textId="630E0F95" w:rsidR="0055250B" w:rsidRDefault="0055250B" w:rsidP="0055250B">
      <w:pPr>
        <w:spacing w:after="0" w:line="480" w:lineRule="auto"/>
        <w:jc w:val="center"/>
        <w:rPr>
          <w:rFonts w:ascii="Times New Roman" w:hAnsi="Times New Roman" w:cs="Times New Roman"/>
        </w:rPr>
      </w:pPr>
      <w:r>
        <w:rPr>
          <w:rFonts w:ascii="Times New Roman" w:hAnsi="Times New Roman" w:cs="Times New Roman"/>
        </w:rPr>
        <w:t>Thinking Beyond</w:t>
      </w:r>
    </w:p>
    <w:p w14:paraId="46709464" w14:textId="65759806" w:rsidR="0055250B" w:rsidRDefault="0055250B" w:rsidP="0055250B">
      <w:pPr>
        <w:spacing w:after="0" w:line="480" w:lineRule="auto"/>
        <w:rPr>
          <w:rFonts w:ascii="Times New Roman" w:hAnsi="Times New Roman" w:cs="Times New Roman"/>
        </w:rPr>
      </w:pPr>
      <w:r>
        <w:rPr>
          <w:rFonts w:ascii="Times New Roman" w:hAnsi="Times New Roman" w:cs="Times New Roman"/>
        </w:rPr>
        <w:tab/>
        <w:t xml:space="preserve">In March of 2026 I conducted a small-scale qualitative inquiry with members of the Queer community in my hometown of Bakersfield, CA. Our mission was to seek understanding </w:t>
      </w:r>
      <w:proofErr w:type="gramStart"/>
      <w:r>
        <w:rPr>
          <w:rFonts w:ascii="Times New Roman" w:hAnsi="Times New Roman" w:cs="Times New Roman"/>
        </w:rPr>
        <w:t>with regard to</w:t>
      </w:r>
      <w:proofErr w:type="gramEnd"/>
      <w:r>
        <w:rPr>
          <w:rFonts w:ascii="Times New Roman" w:hAnsi="Times New Roman" w:cs="Times New Roman"/>
        </w:rPr>
        <w:t xml:space="preserve"> the relationship that Queer communities have with comics fandom. I was guided by three primary research questions: </w:t>
      </w:r>
      <w:r w:rsidR="006727D1">
        <w:rPr>
          <w:rFonts w:ascii="Times New Roman" w:hAnsi="Times New Roman" w:cs="Times New Roman"/>
        </w:rPr>
        <w:t xml:space="preserve">is there a discernible attraction that comics hold for queer people specifically (this was initially construed as “an unusually attractive pull,” but my research sample was far too small to determine a question of that size), what shape does that take when extended into adulthood, and is queer comics fandom beneficial for agency, empowerment, and social enculturation? My method of data collection </w:t>
      </w:r>
      <w:proofErr w:type="gramStart"/>
      <w:r w:rsidR="006727D1">
        <w:rPr>
          <w:rFonts w:ascii="Times New Roman" w:hAnsi="Times New Roman" w:cs="Times New Roman"/>
        </w:rPr>
        <w:t>was pulled</w:t>
      </w:r>
      <w:proofErr w:type="gramEnd"/>
      <w:r w:rsidR="006727D1">
        <w:rPr>
          <w:rFonts w:ascii="Times New Roman" w:hAnsi="Times New Roman" w:cs="Times New Roman"/>
        </w:rPr>
        <w:t xml:space="preserve"> from focus group, survey/questionnaire, participant engagement, and interview protocols. </w:t>
      </w:r>
      <w:proofErr w:type="gramStart"/>
      <w:r w:rsidR="006727D1">
        <w:rPr>
          <w:rFonts w:ascii="Times New Roman" w:hAnsi="Times New Roman" w:cs="Times New Roman"/>
        </w:rPr>
        <w:t>Ultimately my</w:t>
      </w:r>
      <w:proofErr w:type="gramEnd"/>
      <w:r w:rsidR="006727D1">
        <w:rPr>
          <w:rFonts w:ascii="Times New Roman" w:hAnsi="Times New Roman" w:cs="Times New Roman"/>
        </w:rPr>
        <w:t xml:space="preserve"> participant pool was extremely small, two trans-identified female presenting comics fans (and myself), but the study yielded interesting results despite (or maybe because of) its limitations. </w:t>
      </w:r>
    </w:p>
    <w:p w14:paraId="61121032" w14:textId="7AE96985" w:rsidR="006727D1" w:rsidRDefault="006727D1" w:rsidP="0055250B">
      <w:pPr>
        <w:spacing w:after="0" w:line="480" w:lineRule="auto"/>
        <w:rPr>
          <w:rFonts w:ascii="Times New Roman" w:hAnsi="Times New Roman" w:cs="Times New Roman"/>
        </w:rPr>
      </w:pPr>
      <w:r>
        <w:rPr>
          <w:rFonts w:ascii="Times New Roman" w:hAnsi="Times New Roman" w:cs="Times New Roman"/>
        </w:rPr>
        <w:tab/>
        <w:t xml:space="preserve">To facilitate the study I reserved a conference room at a Sexuality and Gender Difference Center. The conference table </w:t>
      </w:r>
      <w:proofErr w:type="gramStart"/>
      <w:r w:rsidR="00FC0504">
        <w:rPr>
          <w:rFonts w:ascii="Times New Roman" w:hAnsi="Times New Roman" w:cs="Times New Roman"/>
        </w:rPr>
        <w:t>was populated</w:t>
      </w:r>
      <w:proofErr w:type="gramEnd"/>
      <w:r w:rsidR="00FC0504">
        <w:rPr>
          <w:rFonts w:ascii="Times New Roman" w:hAnsi="Times New Roman" w:cs="Times New Roman"/>
        </w:rPr>
        <w:t xml:space="preserve"> with comics artifacts across genres, reading levels, and vintages. My participants spent about an hour reading the comics and posting their responses in real time using large post it notes. They then completed a questionnaire that inquired into their fan history, interest in the study, and further reflections </w:t>
      </w:r>
      <w:r w:rsidR="00242DD3">
        <w:rPr>
          <w:rFonts w:ascii="Times New Roman" w:hAnsi="Times New Roman" w:cs="Times New Roman"/>
        </w:rPr>
        <w:t>on</w:t>
      </w:r>
      <w:r w:rsidR="00FC0504">
        <w:rPr>
          <w:rFonts w:ascii="Times New Roman" w:hAnsi="Times New Roman" w:cs="Times New Roman"/>
        </w:rPr>
        <w:t xml:space="preserve"> comics and queers. Our last data collection session was comprised of a recorded, free flowing interview (during which the topics </w:t>
      </w:r>
      <w:r w:rsidR="00FC0504">
        <w:rPr>
          <w:rFonts w:ascii="Times New Roman" w:hAnsi="Times New Roman" w:cs="Times New Roman"/>
        </w:rPr>
        <w:lastRenderedPageBreak/>
        <w:t xml:space="preserve">of trauma, agency, Other-ing on the part of social hierarchies, and connections to current politics dominated). I followed the sessions with open, emergent, axial, and in vivo coding of the participant responses. Tentatively I think I can report that comics fandom for my research participants operates on </w:t>
      </w:r>
      <w:proofErr w:type="gramStart"/>
      <w:r w:rsidR="00FC0504">
        <w:rPr>
          <w:rFonts w:ascii="Times New Roman" w:hAnsi="Times New Roman" w:cs="Times New Roman"/>
        </w:rPr>
        <w:t>a few</w:t>
      </w:r>
      <w:proofErr w:type="gramEnd"/>
      <w:r w:rsidR="00FC0504">
        <w:rPr>
          <w:rFonts w:ascii="Times New Roman" w:hAnsi="Times New Roman" w:cs="Times New Roman"/>
        </w:rPr>
        <w:t xml:space="preserve"> levels, very clearly interior (nostalgia) and exterior (empathy) poles; it is </w:t>
      </w:r>
      <w:r w:rsidR="00FC0504">
        <w:rPr>
          <w:rFonts w:ascii="Times New Roman" w:hAnsi="Times New Roman" w:cs="Times New Roman"/>
          <w:i/>
          <w:iCs/>
        </w:rPr>
        <w:t>immersive</w:t>
      </w:r>
      <w:r w:rsidR="00FC0504">
        <w:rPr>
          <w:rFonts w:ascii="Times New Roman" w:hAnsi="Times New Roman" w:cs="Times New Roman"/>
        </w:rPr>
        <w:t xml:space="preserve"> (the reading session </w:t>
      </w:r>
      <w:proofErr w:type="gramStart"/>
      <w:r w:rsidR="00FC0504">
        <w:rPr>
          <w:rFonts w:ascii="Times New Roman" w:hAnsi="Times New Roman" w:cs="Times New Roman"/>
        </w:rPr>
        <w:t>was hushed</w:t>
      </w:r>
      <w:proofErr w:type="gramEnd"/>
      <w:r w:rsidR="00FC0504">
        <w:rPr>
          <w:rFonts w:ascii="Times New Roman" w:hAnsi="Times New Roman" w:cs="Times New Roman"/>
        </w:rPr>
        <w:t xml:space="preserve"> and intense and the post it responses exhaustive); it is </w:t>
      </w:r>
      <w:r w:rsidR="00FC0504">
        <w:rPr>
          <w:rFonts w:ascii="Times New Roman" w:hAnsi="Times New Roman" w:cs="Times New Roman"/>
          <w:i/>
          <w:iCs/>
        </w:rPr>
        <w:t xml:space="preserve">therapeutic </w:t>
      </w:r>
      <w:r w:rsidR="00FC0504">
        <w:rPr>
          <w:rFonts w:ascii="Times New Roman" w:hAnsi="Times New Roman" w:cs="Times New Roman"/>
        </w:rPr>
        <w:t xml:space="preserve">(the trauma discussion takes up </w:t>
      </w:r>
      <w:proofErr w:type="gramStart"/>
      <w:r w:rsidR="00FC0504">
        <w:rPr>
          <w:rFonts w:ascii="Times New Roman" w:hAnsi="Times New Roman" w:cs="Times New Roman"/>
        </w:rPr>
        <w:t>nearly two</w:t>
      </w:r>
      <w:proofErr w:type="gramEnd"/>
      <w:r w:rsidR="00FC0504">
        <w:rPr>
          <w:rFonts w:ascii="Times New Roman" w:hAnsi="Times New Roman" w:cs="Times New Roman"/>
        </w:rPr>
        <w:t xml:space="preserve"> pages of the interview transcript).</w:t>
      </w:r>
    </w:p>
    <w:p w14:paraId="413A1995" w14:textId="446E74C8" w:rsidR="00061B53" w:rsidRDefault="00FC0504" w:rsidP="00061B53">
      <w:pPr>
        <w:spacing w:line="480" w:lineRule="auto"/>
        <w:rPr>
          <w:rFonts w:ascii="Times New Roman" w:hAnsi="Times New Roman" w:cs="Times New Roman"/>
        </w:rPr>
      </w:pPr>
      <w:r>
        <w:rPr>
          <w:rFonts w:ascii="Times New Roman" w:hAnsi="Times New Roman" w:cs="Times New Roman"/>
        </w:rPr>
        <w:tab/>
      </w:r>
      <w:r w:rsidR="00061B53">
        <w:rPr>
          <w:rFonts w:ascii="Times New Roman" w:hAnsi="Times New Roman" w:cs="Times New Roman"/>
        </w:rPr>
        <w:t xml:space="preserve">“Qualitative researchers do not claim to be objective, because the notion is a false god”: so claims Arizona State University’s Johnny </w:t>
      </w:r>
      <w:r w:rsidR="00061B53" w:rsidRPr="00061B53">
        <w:rPr>
          <w:rFonts w:ascii="Times New Roman" w:hAnsi="Times New Roman" w:cs="Times New Roman"/>
        </w:rPr>
        <w:t>Saldaña</w:t>
      </w:r>
      <w:r w:rsidR="00061B53">
        <w:rPr>
          <w:rFonts w:ascii="Times New Roman" w:hAnsi="Times New Roman" w:cs="Times New Roman"/>
        </w:rPr>
        <w:t xml:space="preserve"> on page 24 of the fifth edition of his book </w:t>
      </w:r>
      <w:r w:rsidR="00061B53">
        <w:rPr>
          <w:rFonts w:ascii="Times New Roman" w:hAnsi="Times New Roman" w:cs="Times New Roman"/>
          <w:i/>
          <w:iCs/>
        </w:rPr>
        <w:t xml:space="preserve">The Coding Manual for Qualitative Researchers </w:t>
      </w:r>
      <w:r w:rsidR="00061B53">
        <w:rPr>
          <w:rFonts w:ascii="Times New Roman" w:hAnsi="Times New Roman" w:cs="Times New Roman"/>
        </w:rPr>
        <w:t>(</w:t>
      </w:r>
      <w:r w:rsidR="00061B53" w:rsidRPr="00061B53">
        <w:rPr>
          <w:rFonts w:ascii="Times New Roman" w:hAnsi="Times New Roman" w:cs="Times New Roman"/>
        </w:rPr>
        <w:t>Saldaña</w:t>
      </w:r>
      <w:r w:rsidR="00061B53">
        <w:rPr>
          <w:rFonts w:ascii="Times New Roman" w:hAnsi="Times New Roman" w:cs="Times New Roman"/>
        </w:rPr>
        <w:t xml:space="preserve"> 24). Nevertheless, were I to revisit this research project I would work on being more disciplined when it comes to putting my thumb on the scale </w:t>
      </w:r>
      <w:r w:rsidR="008C5343">
        <w:rPr>
          <w:rFonts w:ascii="Times New Roman" w:hAnsi="Times New Roman" w:cs="Times New Roman"/>
        </w:rPr>
        <w:t xml:space="preserve">of the results. I certainly </w:t>
      </w:r>
      <w:proofErr w:type="gramStart"/>
      <w:r w:rsidR="008C5343">
        <w:rPr>
          <w:rFonts w:ascii="Times New Roman" w:hAnsi="Times New Roman" w:cs="Times New Roman"/>
        </w:rPr>
        <w:t>wouldn’t</w:t>
      </w:r>
      <w:proofErr w:type="gramEnd"/>
      <w:r w:rsidR="008C5343">
        <w:rPr>
          <w:rFonts w:ascii="Times New Roman" w:hAnsi="Times New Roman" w:cs="Times New Roman"/>
        </w:rPr>
        <w:t xml:space="preserve"> throw out the data I have collected so far; I sense that the data has a way of asserting itself despite my researcher fallibility. But, for instance: in the post focus group interview one participant highlighted the theme of queer joy. This might </w:t>
      </w:r>
      <w:proofErr w:type="gramStart"/>
      <w:r w:rsidR="008C5343">
        <w:rPr>
          <w:rFonts w:ascii="Times New Roman" w:hAnsi="Times New Roman" w:cs="Times New Roman"/>
        </w:rPr>
        <w:t>be considered</w:t>
      </w:r>
      <w:proofErr w:type="gramEnd"/>
      <w:r w:rsidR="008C5343">
        <w:rPr>
          <w:rFonts w:ascii="Times New Roman" w:hAnsi="Times New Roman" w:cs="Times New Roman"/>
        </w:rPr>
        <w:t xml:space="preserve"> an a-ha moment in the research, but in fact the flyers I used to promote this study mention “queer joy,” so the designation was not exactly organic. Also my questions like “do you find that queer comics fans tend to be artists” might </w:t>
      </w:r>
      <w:proofErr w:type="gramStart"/>
      <w:r w:rsidR="008C5343">
        <w:rPr>
          <w:rFonts w:ascii="Times New Roman" w:hAnsi="Times New Roman" w:cs="Times New Roman"/>
        </w:rPr>
        <w:t>be modified</w:t>
      </w:r>
      <w:proofErr w:type="gramEnd"/>
      <w:r w:rsidR="008C5343">
        <w:rPr>
          <w:rFonts w:ascii="Times New Roman" w:hAnsi="Times New Roman" w:cs="Times New Roman"/>
        </w:rPr>
        <w:t xml:space="preserve"> to be less skewed toward any particular result. Despite that, one participant’s response to that question was a studied ambivalence; she </w:t>
      </w:r>
      <w:proofErr w:type="gramStart"/>
      <w:r w:rsidR="008C5343">
        <w:rPr>
          <w:rFonts w:ascii="Times New Roman" w:hAnsi="Times New Roman" w:cs="Times New Roman"/>
        </w:rPr>
        <w:t>wasn’t</w:t>
      </w:r>
      <w:proofErr w:type="gramEnd"/>
      <w:r w:rsidR="008C5343">
        <w:rPr>
          <w:rFonts w:ascii="Times New Roman" w:hAnsi="Times New Roman" w:cs="Times New Roman"/>
        </w:rPr>
        <w:t xml:space="preserve"> committed to saying </w:t>
      </w:r>
      <w:r w:rsidR="008C5343">
        <w:rPr>
          <w:rFonts w:ascii="Times New Roman" w:hAnsi="Times New Roman" w:cs="Times New Roman"/>
          <w:i/>
          <w:iCs/>
        </w:rPr>
        <w:t xml:space="preserve">she </w:t>
      </w:r>
      <w:r w:rsidR="008C5343">
        <w:rPr>
          <w:rFonts w:ascii="Times New Roman" w:hAnsi="Times New Roman" w:cs="Times New Roman"/>
        </w:rPr>
        <w:t xml:space="preserve">was an artist (though eventually it came out that she writes poetry). </w:t>
      </w:r>
    </w:p>
    <w:p w14:paraId="295C3F1C" w14:textId="728C58E1" w:rsidR="008C5343" w:rsidRDefault="008C5343" w:rsidP="00061B53">
      <w:pPr>
        <w:spacing w:line="480" w:lineRule="auto"/>
        <w:rPr>
          <w:rFonts w:ascii="Times New Roman" w:hAnsi="Times New Roman" w:cs="Times New Roman"/>
        </w:rPr>
      </w:pPr>
      <w:r>
        <w:rPr>
          <w:rFonts w:ascii="Times New Roman" w:hAnsi="Times New Roman" w:cs="Times New Roman"/>
        </w:rPr>
        <w:tab/>
        <w:t xml:space="preserve">I am not sure that future iterations of this study should aim for larger participant groups </w:t>
      </w:r>
      <w:r>
        <w:rPr>
          <w:rFonts w:ascii="Times New Roman" w:hAnsi="Times New Roman" w:cs="Times New Roman"/>
          <w:i/>
          <w:iCs/>
        </w:rPr>
        <w:t>necessarily</w:t>
      </w:r>
      <w:r w:rsidR="009B17CE">
        <w:rPr>
          <w:rFonts w:ascii="Times New Roman" w:hAnsi="Times New Roman" w:cs="Times New Roman"/>
        </w:rPr>
        <w:t xml:space="preserve">. </w:t>
      </w:r>
      <w:r w:rsidR="00323E4E">
        <w:rPr>
          <w:rFonts w:ascii="Times New Roman" w:hAnsi="Times New Roman" w:cs="Times New Roman"/>
        </w:rPr>
        <w:t>One interesting result of the limited response to my initial recruitment is that 100% of my participants were 4</w:t>
      </w:r>
      <w:r w:rsidR="00242DD3">
        <w:rPr>
          <w:rFonts w:ascii="Times New Roman" w:hAnsi="Times New Roman" w:cs="Times New Roman"/>
        </w:rPr>
        <w:t>7 years old</w:t>
      </w:r>
      <w:r w:rsidR="00323E4E">
        <w:rPr>
          <w:rFonts w:ascii="Times New Roman" w:hAnsi="Times New Roman" w:cs="Times New Roman"/>
        </w:rPr>
        <w:t xml:space="preserve">, female presenting, and identified under the trans umbrella. </w:t>
      </w:r>
      <w:r w:rsidR="00323E4E">
        <w:rPr>
          <w:rFonts w:ascii="Times New Roman" w:hAnsi="Times New Roman" w:cs="Times New Roman"/>
        </w:rPr>
        <w:lastRenderedPageBreak/>
        <w:t xml:space="preserve">The trans response was consonant with my bibliographical research, which yielded </w:t>
      </w:r>
      <w:proofErr w:type="gramStart"/>
      <w:r w:rsidR="00323E4E">
        <w:rPr>
          <w:rFonts w:ascii="Times New Roman" w:hAnsi="Times New Roman" w:cs="Times New Roman"/>
        </w:rPr>
        <w:t>several</w:t>
      </w:r>
      <w:proofErr w:type="gramEnd"/>
      <w:r w:rsidR="00323E4E">
        <w:rPr>
          <w:rFonts w:ascii="Times New Roman" w:hAnsi="Times New Roman" w:cs="Times New Roman"/>
        </w:rPr>
        <w:t xml:space="preserve"> articles about trans comics fans (the search terms I entered were “gay,” “queer,” “LGBT,” and “2SLGBTQIA+” “+ comics fan empirical study”). Dan Vena’s article “Re-reading </w:t>
      </w:r>
      <w:r w:rsidR="00323E4E">
        <w:rPr>
          <w:rFonts w:ascii="Times New Roman" w:hAnsi="Times New Roman" w:cs="Times New Roman"/>
          <w:i/>
          <w:iCs/>
        </w:rPr>
        <w:t xml:space="preserve">Superman </w:t>
      </w:r>
      <w:r w:rsidR="00323E4E">
        <w:rPr>
          <w:rFonts w:ascii="Times New Roman" w:hAnsi="Times New Roman" w:cs="Times New Roman"/>
        </w:rPr>
        <w:t xml:space="preserve">as a trans f/man” introduced me to the concept of auto-ethnography, which suggests to me that </w:t>
      </w:r>
      <w:proofErr w:type="gramStart"/>
      <w:r w:rsidR="00323E4E">
        <w:rPr>
          <w:rFonts w:ascii="Times New Roman" w:hAnsi="Times New Roman" w:cs="Times New Roman"/>
        </w:rPr>
        <w:t>perhaps there</w:t>
      </w:r>
      <w:proofErr w:type="gramEnd"/>
      <w:r w:rsidR="00323E4E">
        <w:rPr>
          <w:rFonts w:ascii="Times New Roman" w:hAnsi="Times New Roman" w:cs="Times New Roman"/>
        </w:rPr>
        <w:t xml:space="preserve"> is a different level of intensity to the trans comics reading experience than there is to other queer fan experiences in the milieu. Rather than cast a much wider net, I might like to pursue research on the trans comics fan experience on its own. Or </w:t>
      </w:r>
      <w:proofErr w:type="gramStart"/>
      <w:r w:rsidR="00323E4E">
        <w:rPr>
          <w:rFonts w:ascii="Times New Roman" w:hAnsi="Times New Roman" w:cs="Times New Roman"/>
        </w:rPr>
        <w:t>perhaps I</w:t>
      </w:r>
      <w:proofErr w:type="gramEnd"/>
      <w:r w:rsidR="00323E4E">
        <w:rPr>
          <w:rFonts w:ascii="Times New Roman" w:hAnsi="Times New Roman" w:cs="Times New Roman"/>
        </w:rPr>
        <w:t xml:space="preserve"> could conduct a series of small studies isolating individual communities under the queer umbrella, and then study these disparate communities as a unit in a follow up. A new emerging research question is: </w:t>
      </w:r>
      <w:r w:rsidR="00341EAD">
        <w:rPr>
          <w:rFonts w:ascii="Times New Roman" w:hAnsi="Times New Roman" w:cs="Times New Roman"/>
        </w:rPr>
        <w:t>does the comics fandom experience differ between individual communities who identify under the queer umbrella?</w:t>
      </w:r>
    </w:p>
    <w:p w14:paraId="1F0C253E" w14:textId="33300435" w:rsidR="00525B01" w:rsidRDefault="00525B01" w:rsidP="00061B53">
      <w:pPr>
        <w:spacing w:line="480" w:lineRule="auto"/>
        <w:rPr>
          <w:rFonts w:ascii="Times New Roman" w:hAnsi="Times New Roman" w:cs="Times New Roman"/>
        </w:rPr>
      </w:pPr>
      <w:r>
        <w:rPr>
          <w:rFonts w:ascii="Times New Roman" w:hAnsi="Times New Roman" w:cs="Times New Roman"/>
        </w:rPr>
        <w:tab/>
        <w:t xml:space="preserve">Although I </w:t>
      </w:r>
      <w:proofErr w:type="gramStart"/>
      <w:r>
        <w:rPr>
          <w:rFonts w:ascii="Times New Roman" w:hAnsi="Times New Roman" w:cs="Times New Roman"/>
        </w:rPr>
        <w:t>don’t</w:t>
      </w:r>
      <w:proofErr w:type="gramEnd"/>
      <w:r>
        <w:rPr>
          <w:rFonts w:ascii="Times New Roman" w:hAnsi="Times New Roman" w:cs="Times New Roman"/>
        </w:rPr>
        <w:t xml:space="preserve"> find it necessary to recruit a large research subject cohort I still might refine my methods of recruitment. I recruited for my two-person study through flyers posted at my city’s community college and state university and at the Center where the study </w:t>
      </w:r>
      <w:proofErr w:type="gramStart"/>
      <w:r>
        <w:rPr>
          <w:rFonts w:ascii="Times New Roman" w:hAnsi="Times New Roman" w:cs="Times New Roman"/>
        </w:rPr>
        <w:t>was held</w:t>
      </w:r>
      <w:proofErr w:type="gramEnd"/>
      <w:r>
        <w:rPr>
          <w:rFonts w:ascii="Times New Roman" w:hAnsi="Times New Roman" w:cs="Times New Roman"/>
        </w:rPr>
        <w:t xml:space="preserve">. In addition the Center advertised on their social pages and in their monthly newsletter. I no longer use the major social networking social media sites myself, an action </w:t>
      </w:r>
      <w:proofErr w:type="gramStart"/>
      <w:r>
        <w:rPr>
          <w:rFonts w:ascii="Times New Roman" w:hAnsi="Times New Roman" w:cs="Times New Roman"/>
        </w:rPr>
        <w:t>I’ve</w:t>
      </w:r>
      <w:proofErr w:type="gramEnd"/>
      <w:r>
        <w:rPr>
          <w:rFonts w:ascii="Times New Roman" w:hAnsi="Times New Roman" w:cs="Times New Roman"/>
        </w:rPr>
        <w:t xml:space="preserve"> taken to preserve my most important positionality of all – my sobriety. In recruiting for my small-scale study I did think of my lack of social presence as a liability, which may have led to a certain amount of apathy as to the success or failure of the methods of recruitment I did employ. In hindsight I could have recruited at my queer-friendly church, with friends in Recovery (at coffee of course), with the presidents of the LGBT student groups at the schools at which I posted flyers. As it happens I am a former president of one of those groups from my time in graduate school for my M.A. I suppose I am on the fence about the “queer joy” message on the flyers I used for the beta </w:t>
      </w:r>
      <w:r>
        <w:rPr>
          <w:rFonts w:ascii="Times New Roman" w:hAnsi="Times New Roman" w:cs="Times New Roman"/>
        </w:rPr>
        <w:lastRenderedPageBreak/>
        <w:t xml:space="preserve">version of my study. Although I have concerns that message overdetermined the research results, I like the energy the participants brought to our focus group – an energy I can only describe as “queer joy.” </w:t>
      </w:r>
      <w:r w:rsidR="00AD78AE">
        <w:rPr>
          <w:rFonts w:ascii="Times New Roman" w:hAnsi="Times New Roman" w:cs="Times New Roman"/>
        </w:rPr>
        <w:t xml:space="preserve">This will require </w:t>
      </w:r>
      <w:proofErr w:type="gramStart"/>
      <w:r w:rsidR="00AD78AE">
        <w:rPr>
          <w:rFonts w:ascii="Times New Roman" w:hAnsi="Times New Roman" w:cs="Times New Roman"/>
        </w:rPr>
        <w:t>some</w:t>
      </w:r>
      <w:proofErr w:type="gramEnd"/>
      <w:r w:rsidR="00AD78AE">
        <w:rPr>
          <w:rFonts w:ascii="Times New Roman" w:hAnsi="Times New Roman" w:cs="Times New Roman"/>
        </w:rPr>
        <w:t xml:space="preserve"> thought, careful consideration, and </w:t>
      </w:r>
      <w:proofErr w:type="gramStart"/>
      <w:r w:rsidR="00AD78AE">
        <w:rPr>
          <w:rFonts w:ascii="Times New Roman" w:hAnsi="Times New Roman" w:cs="Times New Roman"/>
        </w:rPr>
        <w:t>perhaps wisdom-seeking</w:t>
      </w:r>
      <w:proofErr w:type="gramEnd"/>
      <w:r w:rsidR="00AD78AE">
        <w:rPr>
          <w:rFonts w:ascii="Times New Roman" w:hAnsi="Times New Roman" w:cs="Times New Roman"/>
        </w:rPr>
        <w:t xml:space="preserve"> from more experienced qualitative researchers.</w:t>
      </w:r>
    </w:p>
    <w:p w14:paraId="2689F75A" w14:textId="59A29A94" w:rsidR="00AD78AE" w:rsidRDefault="00AD78AE" w:rsidP="00061B53">
      <w:pPr>
        <w:spacing w:line="480" w:lineRule="auto"/>
        <w:rPr>
          <w:rFonts w:ascii="Times New Roman" w:eastAsia="Aptos" w:hAnsi="Times New Roman" w:cs="Times New Roman"/>
        </w:rPr>
      </w:pPr>
      <w:r>
        <w:rPr>
          <w:rFonts w:ascii="Times New Roman" w:hAnsi="Times New Roman" w:cs="Times New Roman"/>
        </w:rPr>
        <w:tab/>
        <w:t>I am happy with the research methods themselves. I used as a rough template a published study on gender identity and graphic novel adaptations of sacred scripture</w:t>
      </w:r>
      <w:r w:rsidR="001C4E45">
        <w:rPr>
          <w:rFonts w:ascii="Times New Roman" w:hAnsi="Times New Roman" w:cs="Times New Roman"/>
        </w:rPr>
        <w:t xml:space="preserve">, </w:t>
      </w:r>
      <w:r w:rsidR="001C4E45" w:rsidRPr="001C4E45">
        <w:rPr>
          <w:rFonts w:ascii="Times New Roman" w:eastAsia="Aptos" w:hAnsi="Times New Roman" w:cs="Times New Roman"/>
        </w:rPr>
        <w:t>“Reconsidering Religious Gender Normativity in Graphic Novel Adaptations: A Quantitative and Qualitative Case Study” by Talia Hurwich</w:t>
      </w:r>
      <w:r w:rsidR="001C4E45">
        <w:rPr>
          <w:rFonts w:ascii="Times New Roman" w:eastAsia="Aptos" w:hAnsi="Times New Roman" w:cs="Times New Roman"/>
        </w:rPr>
        <w:t xml:space="preserve">. Her multimodal research design combined demographic data, survey, and think-aloud sessions to determine whether subtly sacrilegious renderings of female characters in Bible stories affected modern Orthodox Jewish young women in their </w:t>
      </w:r>
      <w:r w:rsidR="00D374B3">
        <w:rPr>
          <w:rFonts w:ascii="Times New Roman" w:eastAsia="Aptos" w:hAnsi="Times New Roman" w:cs="Times New Roman"/>
        </w:rPr>
        <w:t xml:space="preserve">navigation of sexism/feminism. I found that in engaging </w:t>
      </w:r>
      <w:proofErr w:type="gramStart"/>
      <w:r w:rsidR="00D374B3">
        <w:rPr>
          <w:rFonts w:ascii="Times New Roman" w:eastAsia="Aptos" w:hAnsi="Times New Roman" w:cs="Times New Roman"/>
        </w:rPr>
        <w:t>several</w:t>
      </w:r>
      <w:proofErr w:type="gramEnd"/>
      <w:r w:rsidR="00D374B3">
        <w:rPr>
          <w:rFonts w:ascii="Times New Roman" w:eastAsia="Aptos" w:hAnsi="Times New Roman" w:cs="Times New Roman"/>
        </w:rPr>
        <w:t xml:space="preserve"> modalities in my study </w:t>
      </w:r>
      <w:proofErr w:type="gramStart"/>
      <w:r w:rsidR="00D374B3">
        <w:rPr>
          <w:rFonts w:ascii="Times New Roman" w:eastAsia="Aptos" w:hAnsi="Times New Roman" w:cs="Times New Roman"/>
        </w:rPr>
        <w:t>different aspects</w:t>
      </w:r>
      <w:proofErr w:type="gramEnd"/>
      <w:r w:rsidR="00D374B3">
        <w:rPr>
          <w:rFonts w:ascii="Times New Roman" w:eastAsia="Aptos" w:hAnsi="Times New Roman" w:cs="Times New Roman"/>
        </w:rPr>
        <w:t xml:space="preserve"> of my participants’ engagement in comics came to the fore. The questionnaire yielded more results reflecting nostalgia and aesthetic engagement; the post it notes recorded instances of marginalized person (and super person) agency; the post focus group recorded interview veered into a long discussion of trauma and comics as therapy. And my own observations of the engagement with the comics artifacts kept circling back to the word “immersive.”</w:t>
      </w:r>
    </w:p>
    <w:p w14:paraId="0027143D" w14:textId="0FEDA707" w:rsidR="00D374B3" w:rsidRDefault="00D374B3" w:rsidP="00061B53">
      <w:pPr>
        <w:spacing w:line="480" w:lineRule="auto"/>
        <w:rPr>
          <w:rFonts w:ascii="Times New Roman" w:eastAsia="Aptos" w:hAnsi="Times New Roman" w:cs="Times New Roman"/>
        </w:rPr>
      </w:pPr>
      <w:r>
        <w:rPr>
          <w:rFonts w:ascii="Times New Roman" w:eastAsia="Aptos" w:hAnsi="Times New Roman" w:cs="Times New Roman"/>
        </w:rPr>
        <w:tab/>
      </w:r>
      <w:r w:rsidR="00904DD1">
        <w:rPr>
          <w:rFonts w:ascii="Times New Roman" w:eastAsia="Aptos" w:hAnsi="Times New Roman" w:cs="Times New Roman"/>
        </w:rPr>
        <w:t xml:space="preserve">In fact there is enough in these preliminary results that I suspect a fuller version of this study might have a place in the grounded theory milieu. Grounded theory </w:t>
      </w:r>
      <w:proofErr w:type="gramStart"/>
      <w:r w:rsidR="00904DD1">
        <w:rPr>
          <w:rFonts w:ascii="Times New Roman" w:eastAsia="Aptos" w:hAnsi="Times New Roman" w:cs="Times New Roman"/>
        </w:rPr>
        <w:t>is defined</w:t>
      </w:r>
      <w:proofErr w:type="gramEnd"/>
      <w:r w:rsidR="00904DD1">
        <w:rPr>
          <w:rFonts w:ascii="Times New Roman" w:eastAsia="Aptos" w:hAnsi="Times New Roman" w:cs="Times New Roman"/>
        </w:rPr>
        <w:t xml:space="preserve"> by the American Psychological Association as “a set of procedures for the systematic analysis of unstructured qualitative data so as to derive by induction a supposition that explains the observed phenomena” (APA). In general I find the approach to be much more insightful and much more given to practicability and actionability than French Theory (still a shibboleth in </w:t>
      </w:r>
      <w:proofErr w:type="gramStart"/>
      <w:r w:rsidR="00904DD1">
        <w:rPr>
          <w:rFonts w:ascii="Times New Roman" w:eastAsia="Aptos" w:hAnsi="Times New Roman" w:cs="Times New Roman"/>
        </w:rPr>
        <w:t>much</w:t>
      </w:r>
      <w:proofErr w:type="gramEnd"/>
      <w:r w:rsidR="00904DD1">
        <w:rPr>
          <w:rFonts w:ascii="Times New Roman" w:eastAsia="Aptos" w:hAnsi="Times New Roman" w:cs="Times New Roman"/>
        </w:rPr>
        <w:t xml:space="preserve"> of academia). Grounded theory recognizes, in my view, that the interrogation of systems must </w:t>
      </w:r>
      <w:r w:rsidR="00904DD1">
        <w:rPr>
          <w:rFonts w:ascii="Times New Roman" w:eastAsia="Aptos" w:hAnsi="Times New Roman" w:cs="Times New Roman"/>
        </w:rPr>
        <w:lastRenderedPageBreak/>
        <w:t xml:space="preserve">involve </w:t>
      </w:r>
      <w:r w:rsidR="00904DD1">
        <w:rPr>
          <w:rFonts w:ascii="Times New Roman" w:eastAsia="Aptos" w:hAnsi="Times New Roman" w:cs="Times New Roman"/>
          <w:i/>
          <w:iCs/>
        </w:rPr>
        <w:t xml:space="preserve">people. </w:t>
      </w:r>
      <w:r w:rsidR="00904DD1">
        <w:rPr>
          <w:rFonts w:ascii="Times New Roman" w:eastAsia="Aptos" w:hAnsi="Times New Roman" w:cs="Times New Roman"/>
        </w:rPr>
        <w:t>My dissertation theory holds that comics and comics culture is an afterlife of Romanticism. I can’t impose that</w:t>
      </w:r>
      <w:r w:rsidR="00343A28">
        <w:rPr>
          <w:rFonts w:ascii="Times New Roman" w:eastAsia="Aptos" w:hAnsi="Times New Roman" w:cs="Times New Roman"/>
        </w:rPr>
        <w:t xml:space="preserve"> theory</w:t>
      </w:r>
      <w:r w:rsidR="00904DD1">
        <w:rPr>
          <w:rFonts w:ascii="Times New Roman" w:eastAsia="Aptos" w:hAnsi="Times New Roman" w:cs="Times New Roman"/>
        </w:rPr>
        <w:t xml:space="preserve"> on my queer comics fan study, but the deeply personal, emotional, primary color way in which my participants responded </w:t>
      </w:r>
      <w:r w:rsidR="001F28D6">
        <w:rPr>
          <w:rFonts w:ascii="Times New Roman" w:eastAsia="Aptos" w:hAnsi="Times New Roman" w:cs="Times New Roman"/>
        </w:rPr>
        <w:t xml:space="preserve">is suggestive of some kind of localized zeitgeist that I find not improper to compare to Romanticism. </w:t>
      </w:r>
    </w:p>
    <w:p w14:paraId="74B6B373" w14:textId="28E8E105" w:rsidR="001F28D6" w:rsidRDefault="001F28D6" w:rsidP="00061B53">
      <w:pPr>
        <w:spacing w:line="480" w:lineRule="auto"/>
        <w:rPr>
          <w:rFonts w:ascii="Times New Roman" w:eastAsia="Aptos" w:hAnsi="Times New Roman" w:cs="Times New Roman"/>
        </w:rPr>
      </w:pPr>
      <w:r>
        <w:rPr>
          <w:rFonts w:ascii="Times New Roman" w:eastAsia="Aptos" w:hAnsi="Times New Roman" w:cs="Times New Roman"/>
        </w:rPr>
        <w:tab/>
        <w:t xml:space="preserve">Finally the analysis of my study results </w:t>
      </w:r>
      <w:proofErr w:type="gramStart"/>
      <w:r>
        <w:rPr>
          <w:rFonts w:ascii="Times New Roman" w:eastAsia="Aptos" w:hAnsi="Times New Roman" w:cs="Times New Roman"/>
        </w:rPr>
        <w:t>was profoundly assisted</w:t>
      </w:r>
      <w:proofErr w:type="gramEnd"/>
      <w:r>
        <w:rPr>
          <w:rFonts w:ascii="Times New Roman" w:eastAsia="Aptos" w:hAnsi="Times New Roman" w:cs="Times New Roman"/>
        </w:rPr>
        <w:t xml:space="preserve"> by the graduate school classroom context under which the study was </w:t>
      </w:r>
      <w:proofErr w:type="gramStart"/>
      <w:r>
        <w:rPr>
          <w:rFonts w:ascii="Times New Roman" w:eastAsia="Aptos" w:hAnsi="Times New Roman" w:cs="Times New Roman"/>
        </w:rPr>
        <w:t>ostensibly undertaken</w:t>
      </w:r>
      <w:proofErr w:type="gramEnd"/>
      <w:r>
        <w:rPr>
          <w:rFonts w:ascii="Times New Roman" w:eastAsia="Aptos" w:hAnsi="Times New Roman" w:cs="Times New Roman"/>
        </w:rPr>
        <w:t>. The first round of coding occurred in a “data analysis lab” with my colleagues Jocelyn Crawley, Julie Thompson, Alyssa</w:t>
      </w:r>
      <w:r w:rsidR="002B61DA">
        <w:rPr>
          <w:rFonts w:ascii="Times New Roman" w:eastAsia="Aptos" w:hAnsi="Times New Roman" w:cs="Times New Roman"/>
        </w:rPr>
        <w:t xml:space="preserve"> Mejia</w:t>
      </w:r>
      <w:r>
        <w:rPr>
          <w:rFonts w:ascii="Times New Roman" w:eastAsia="Aptos" w:hAnsi="Times New Roman" w:cs="Times New Roman"/>
        </w:rPr>
        <w:t xml:space="preserve">, and Alisha Waite. </w:t>
      </w:r>
      <w:r w:rsidR="002B61DA">
        <w:rPr>
          <w:rFonts w:ascii="Times New Roman" w:eastAsia="Aptos" w:hAnsi="Times New Roman" w:cs="Times New Roman"/>
        </w:rPr>
        <w:t xml:space="preserve">Working with the post it and questionnaire responses Ms. Crawley suggested the code of “resistance,” which revealed a political dimension to the data that had been hiding in plain sight. I can understand and appreciate the value of researcher autonomy, but I lean toward a democratic socialist view in academic studies. I find multiple perspectives to be bracing, salutary, and needed. They help with accountability, and they help the researcher </w:t>
      </w:r>
      <w:r w:rsidR="007452FC">
        <w:rPr>
          <w:rFonts w:ascii="Times New Roman" w:eastAsia="Aptos" w:hAnsi="Times New Roman" w:cs="Times New Roman"/>
        </w:rPr>
        <w:t xml:space="preserve">to avoid labeling his/her/their subjectivity as objectivity. </w:t>
      </w:r>
    </w:p>
    <w:p w14:paraId="5D60D81E" w14:textId="55548FE2" w:rsidR="007452FC" w:rsidRDefault="007452FC" w:rsidP="00061B53">
      <w:pPr>
        <w:spacing w:line="480" w:lineRule="auto"/>
        <w:rPr>
          <w:rFonts w:ascii="Times New Roman" w:eastAsia="Aptos" w:hAnsi="Times New Roman" w:cs="Times New Roman"/>
        </w:rPr>
      </w:pPr>
      <w:r>
        <w:rPr>
          <w:rFonts w:ascii="Times New Roman" w:eastAsia="Aptos" w:hAnsi="Times New Roman" w:cs="Times New Roman"/>
        </w:rPr>
        <w:tab/>
        <w:t xml:space="preserve">In Recovery we have a saying, “more will be revealed,” which keeps us in the humble state of not knowing without discarding knowledge in the quest for wisdom. There is </w:t>
      </w:r>
      <w:proofErr w:type="gramStart"/>
      <w:r>
        <w:rPr>
          <w:rFonts w:ascii="Times New Roman" w:eastAsia="Aptos" w:hAnsi="Times New Roman" w:cs="Times New Roman"/>
        </w:rPr>
        <w:t>a lot</w:t>
      </w:r>
      <w:proofErr w:type="gramEnd"/>
      <w:r>
        <w:rPr>
          <w:rFonts w:ascii="Times New Roman" w:eastAsia="Aptos" w:hAnsi="Times New Roman" w:cs="Times New Roman"/>
        </w:rPr>
        <w:t xml:space="preserve"> about my study as it stands that I like: the frameworks, the questions, the design, the collaborative elements, the emerging insights. There is </w:t>
      </w:r>
      <w:proofErr w:type="gramStart"/>
      <w:r>
        <w:rPr>
          <w:rFonts w:ascii="Times New Roman" w:eastAsia="Aptos" w:hAnsi="Times New Roman" w:cs="Times New Roman"/>
        </w:rPr>
        <w:t>a lot</w:t>
      </w:r>
      <w:proofErr w:type="gramEnd"/>
      <w:r>
        <w:rPr>
          <w:rFonts w:ascii="Times New Roman" w:eastAsia="Aptos" w:hAnsi="Times New Roman" w:cs="Times New Roman"/>
        </w:rPr>
        <w:t xml:space="preserve"> I can work on: restraining myself from building conclusions into the data collection (“queer joy”), refining the recruitment efforts, narrowing the focus</w:t>
      </w:r>
      <w:r w:rsidR="003375A6">
        <w:rPr>
          <w:rFonts w:ascii="Times New Roman" w:eastAsia="Aptos" w:hAnsi="Times New Roman" w:cs="Times New Roman"/>
        </w:rPr>
        <w:t xml:space="preserve">, leaning into collaboration even more, determining </w:t>
      </w:r>
      <w:proofErr w:type="gramStart"/>
      <w:r w:rsidR="003375A6">
        <w:rPr>
          <w:rFonts w:ascii="Times New Roman" w:eastAsia="Aptos" w:hAnsi="Times New Roman" w:cs="Times New Roman"/>
        </w:rPr>
        <w:t>whether or not</w:t>
      </w:r>
      <w:proofErr w:type="gramEnd"/>
      <w:r w:rsidR="003375A6">
        <w:rPr>
          <w:rFonts w:ascii="Times New Roman" w:eastAsia="Aptos" w:hAnsi="Times New Roman" w:cs="Times New Roman"/>
        </w:rPr>
        <w:t xml:space="preserve"> the study lives in the </w:t>
      </w:r>
      <w:r w:rsidR="003375A6">
        <w:rPr>
          <w:rFonts w:ascii="Times New Roman" w:eastAsia="Aptos" w:hAnsi="Times New Roman" w:cs="Times New Roman"/>
          <w:i/>
          <w:iCs/>
        </w:rPr>
        <w:t xml:space="preserve">grounded theory </w:t>
      </w:r>
      <w:r w:rsidR="003375A6">
        <w:rPr>
          <w:rFonts w:ascii="Times New Roman" w:eastAsia="Aptos" w:hAnsi="Times New Roman" w:cs="Times New Roman"/>
        </w:rPr>
        <w:t xml:space="preserve">wheelhouse. More will </w:t>
      </w:r>
      <w:proofErr w:type="gramStart"/>
      <w:r w:rsidR="003375A6">
        <w:rPr>
          <w:rFonts w:ascii="Times New Roman" w:eastAsia="Aptos" w:hAnsi="Times New Roman" w:cs="Times New Roman"/>
        </w:rPr>
        <w:t>be revealed</w:t>
      </w:r>
      <w:proofErr w:type="gramEnd"/>
      <w:r w:rsidR="003375A6">
        <w:rPr>
          <w:rFonts w:ascii="Times New Roman" w:eastAsia="Aptos" w:hAnsi="Times New Roman" w:cs="Times New Roman"/>
        </w:rPr>
        <w:t xml:space="preserve">. As Sharon Ravitch and Matthew Riggan observe in their text </w:t>
      </w:r>
      <w:r w:rsidR="003375A6">
        <w:rPr>
          <w:rFonts w:ascii="Times New Roman" w:eastAsia="Aptos" w:hAnsi="Times New Roman" w:cs="Times New Roman"/>
          <w:i/>
          <w:iCs/>
        </w:rPr>
        <w:t>Reason &amp; Rigor</w:t>
      </w:r>
      <w:r w:rsidR="003375A6">
        <w:rPr>
          <w:rFonts w:ascii="Times New Roman" w:eastAsia="Aptos" w:hAnsi="Times New Roman" w:cs="Times New Roman"/>
        </w:rPr>
        <w:t>, “[r]eason without rigor is editorializing; rigor without reason is irrelevant” (218). I aspire to both should I take this study to a subsequent phase.</w:t>
      </w:r>
    </w:p>
    <w:p w14:paraId="08CC0B68" w14:textId="77777777" w:rsidR="003375A6" w:rsidRDefault="003375A6" w:rsidP="00061B53">
      <w:pPr>
        <w:spacing w:line="480" w:lineRule="auto"/>
        <w:rPr>
          <w:rFonts w:ascii="Times New Roman" w:eastAsia="Aptos" w:hAnsi="Times New Roman" w:cs="Times New Roman"/>
        </w:rPr>
      </w:pPr>
    </w:p>
    <w:p w14:paraId="6969F36E" w14:textId="09D0F664" w:rsidR="003375A6" w:rsidRDefault="003375A6" w:rsidP="003375A6">
      <w:pPr>
        <w:spacing w:line="480" w:lineRule="auto"/>
        <w:jc w:val="center"/>
        <w:rPr>
          <w:rFonts w:ascii="Times New Roman" w:eastAsia="Aptos" w:hAnsi="Times New Roman" w:cs="Times New Roman"/>
        </w:rPr>
      </w:pPr>
      <w:r>
        <w:rPr>
          <w:rFonts w:ascii="Times New Roman" w:eastAsia="Aptos" w:hAnsi="Times New Roman" w:cs="Times New Roman"/>
        </w:rPr>
        <w:lastRenderedPageBreak/>
        <w:t>Works Cited</w:t>
      </w:r>
    </w:p>
    <w:p w14:paraId="2FBA62CA" w14:textId="38A5EF39" w:rsidR="00343A28" w:rsidRDefault="00343A28" w:rsidP="00242DD3">
      <w:pPr>
        <w:spacing w:after="0" w:line="480" w:lineRule="auto"/>
        <w:rPr>
          <w:rFonts w:ascii="Times New Roman" w:eastAsia="Aptos" w:hAnsi="Times New Roman" w:cs="Times New Roman"/>
        </w:rPr>
      </w:pPr>
      <w:r>
        <w:rPr>
          <w:rFonts w:ascii="Times New Roman" w:eastAsia="Aptos" w:hAnsi="Times New Roman" w:cs="Times New Roman"/>
        </w:rPr>
        <w:t xml:space="preserve">“Grounded Theory.” APA Dictionary of Psychology. 19 April 2018. </w:t>
      </w:r>
      <w:hyperlink r:id="rId6" w:history="1">
        <w:r w:rsidRPr="008C460C">
          <w:rPr>
            <w:rStyle w:val="Hyperlink"/>
            <w:rFonts w:ascii="Times New Roman" w:eastAsia="Aptos" w:hAnsi="Times New Roman" w:cs="Times New Roman"/>
          </w:rPr>
          <w:t>https://dictionary.apa.org</w:t>
        </w:r>
      </w:hyperlink>
      <w:r>
        <w:rPr>
          <w:rFonts w:ascii="Times New Roman" w:eastAsia="Aptos" w:hAnsi="Times New Roman" w:cs="Times New Roman"/>
        </w:rPr>
        <w:t xml:space="preserve">. </w:t>
      </w:r>
    </w:p>
    <w:p w14:paraId="67955468" w14:textId="14453127" w:rsidR="00343A28" w:rsidRDefault="00343A28" w:rsidP="00242DD3">
      <w:pPr>
        <w:spacing w:after="0" w:line="480" w:lineRule="auto"/>
        <w:rPr>
          <w:rFonts w:ascii="Times New Roman" w:eastAsia="Aptos" w:hAnsi="Times New Roman" w:cs="Times New Roman"/>
        </w:rPr>
      </w:pPr>
      <w:r>
        <w:rPr>
          <w:rFonts w:ascii="Times New Roman" w:eastAsia="Aptos" w:hAnsi="Times New Roman" w:cs="Times New Roman"/>
        </w:rPr>
        <w:tab/>
        <w:t>Accessed 3 May 2026.</w:t>
      </w:r>
    </w:p>
    <w:p w14:paraId="4A041D93" w14:textId="4181E852" w:rsidR="003375A6" w:rsidRPr="003375A6" w:rsidRDefault="003375A6" w:rsidP="00242DD3">
      <w:pPr>
        <w:spacing w:after="0" w:line="480" w:lineRule="auto"/>
        <w:rPr>
          <w:rFonts w:ascii="Times New Roman" w:eastAsia="Aptos" w:hAnsi="Times New Roman" w:cs="Times New Roman"/>
        </w:rPr>
      </w:pPr>
      <w:r w:rsidRPr="003375A6">
        <w:rPr>
          <w:rFonts w:ascii="Times New Roman" w:eastAsia="Aptos" w:hAnsi="Times New Roman" w:cs="Times New Roman"/>
        </w:rPr>
        <w:t xml:space="preserve">Hurwich, Talia. “Reconsidering Religious Gender Normativity in Graphic Novel Adaptations: A </w:t>
      </w:r>
    </w:p>
    <w:p w14:paraId="1AEF63E0" w14:textId="77777777" w:rsidR="003375A6" w:rsidRPr="003375A6" w:rsidRDefault="003375A6" w:rsidP="00242DD3">
      <w:pPr>
        <w:spacing w:after="0" w:line="480" w:lineRule="auto"/>
        <w:ind w:left="720"/>
        <w:rPr>
          <w:rFonts w:ascii="Times New Roman" w:eastAsia="Aptos" w:hAnsi="Times New Roman" w:cs="Times New Roman"/>
          <w:color w:val="000000"/>
        </w:rPr>
      </w:pPr>
      <w:r w:rsidRPr="003375A6">
        <w:rPr>
          <w:rFonts w:ascii="Times New Roman" w:eastAsia="Aptos" w:hAnsi="Times New Roman" w:cs="Times New Roman"/>
        </w:rPr>
        <w:t xml:space="preserve">Quantitative and Qualitative Case Study.” </w:t>
      </w:r>
      <w:r w:rsidRPr="003375A6">
        <w:rPr>
          <w:rFonts w:ascii="Times New Roman" w:eastAsia="Aptos" w:hAnsi="Times New Roman" w:cs="Times New Roman"/>
          <w:i/>
          <w:iCs/>
        </w:rPr>
        <w:t>English Teaching : Practice and Critique</w:t>
      </w:r>
      <w:r w:rsidRPr="003375A6">
        <w:rPr>
          <w:rFonts w:ascii="Times New Roman" w:eastAsia="Aptos" w:hAnsi="Times New Roman" w:cs="Times New Roman"/>
        </w:rPr>
        <w:t xml:space="preserve"> [Hamilton], vol. 20, no. 2, July 2021, pp. 180–95, </w:t>
      </w:r>
      <w:hyperlink r:id="rId7" w:history="1">
        <w:r w:rsidRPr="003375A6">
          <w:rPr>
            <w:rFonts w:ascii="Times New Roman" w:eastAsia="Aptos" w:hAnsi="Times New Roman" w:cs="Times New Roman"/>
            <w:color w:val="000000"/>
          </w:rPr>
          <w:t>https://doi.org/10.1108/ETPC-08-2020-0097</w:t>
        </w:r>
      </w:hyperlink>
      <w:r w:rsidRPr="003375A6">
        <w:rPr>
          <w:rFonts w:ascii="Times New Roman" w:eastAsia="Aptos" w:hAnsi="Times New Roman" w:cs="Times New Roman"/>
          <w:color w:val="000000"/>
        </w:rPr>
        <w:t>.</w:t>
      </w:r>
    </w:p>
    <w:p w14:paraId="16397A1F" w14:textId="69D8266E" w:rsidR="003375A6" w:rsidRDefault="003375A6" w:rsidP="00242DD3">
      <w:pPr>
        <w:spacing w:after="0" w:line="480" w:lineRule="auto"/>
        <w:rPr>
          <w:rFonts w:ascii="Times New Roman" w:hAnsi="Times New Roman" w:cs="Times New Roman"/>
          <w:i/>
          <w:iCs/>
        </w:rPr>
      </w:pPr>
      <w:r w:rsidRPr="003375A6">
        <w:rPr>
          <w:rFonts w:ascii="Times New Roman" w:hAnsi="Times New Roman" w:cs="Times New Roman"/>
        </w:rPr>
        <w:t>Ravitch, Sharon M., and Matthew Riggan. </w:t>
      </w:r>
      <w:r w:rsidRPr="003375A6">
        <w:rPr>
          <w:rFonts w:ascii="Times New Roman" w:hAnsi="Times New Roman" w:cs="Times New Roman"/>
          <w:i/>
          <w:iCs/>
        </w:rPr>
        <w:t xml:space="preserve">Reason &amp; Rigor : How Conceptual Frameworks </w:t>
      </w:r>
    </w:p>
    <w:p w14:paraId="669E0F6F" w14:textId="77777777" w:rsidR="003375A6" w:rsidRDefault="003375A6" w:rsidP="00242DD3">
      <w:pPr>
        <w:spacing w:after="0" w:line="480" w:lineRule="auto"/>
        <w:rPr>
          <w:rFonts w:ascii="Times New Roman" w:hAnsi="Times New Roman" w:cs="Times New Roman"/>
        </w:rPr>
      </w:pPr>
      <w:r>
        <w:rPr>
          <w:rFonts w:ascii="Times New Roman" w:hAnsi="Times New Roman" w:cs="Times New Roman"/>
          <w:i/>
          <w:iCs/>
        </w:rPr>
        <w:tab/>
      </w:r>
      <w:r w:rsidRPr="003375A6">
        <w:rPr>
          <w:rFonts w:ascii="Times New Roman" w:hAnsi="Times New Roman" w:cs="Times New Roman"/>
          <w:i/>
          <w:iCs/>
        </w:rPr>
        <w:t>Guide Research</w:t>
      </w:r>
      <w:r w:rsidRPr="003375A6">
        <w:rPr>
          <w:rFonts w:ascii="Times New Roman" w:hAnsi="Times New Roman" w:cs="Times New Roman"/>
        </w:rPr>
        <w:t>. Second edition., Sage, 2017.</w:t>
      </w:r>
    </w:p>
    <w:p w14:paraId="01B96243" w14:textId="56BBE01E" w:rsidR="00242DD3" w:rsidRDefault="00242DD3" w:rsidP="00242DD3">
      <w:pPr>
        <w:spacing w:after="0" w:line="480" w:lineRule="auto"/>
        <w:rPr>
          <w:rFonts w:ascii="Times New Roman" w:hAnsi="Times New Roman" w:cs="Times New Roman"/>
        </w:rPr>
      </w:pPr>
      <w:r w:rsidRPr="00242DD3">
        <w:rPr>
          <w:rFonts w:ascii="Times New Roman" w:hAnsi="Times New Roman" w:cs="Times New Roman"/>
        </w:rPr>
        <w:t>Saldaña, Johnny. </w:t>
      </w:r>
      <w:r w:rsidRPr="00242DD3">
        <w:rPr>
          <w:rFonts w:ascii="Times New Roman" w:hAnsi="Times New Roman" w:cs="Times New Roman"/>
          <w:i/>
          <w:iCs/>
        </w:rPr>
        <w:t>The Coding Manual for Qualitative Researchers</w:t>
      </w:r>
      <w:r w:rsidRPr="00242DD3">
        <w:rPr>
          <w:rFonts w:ascii="Times New Roman" w:hAnsi="Times New Roman" w:cs="Times New Roman"/>
        </w:rPr>
        <w:t xml:space="preserve">. </w:t>
      </w:r>
      <w:r>
        <w:rPr>
          <w:rFonts w:ascii="Times New Roman" w:hAnsi="Times New Roman" w:cs="Times New Roman"/>
        </w:rPr>
        <w:t>5th</w:t>
      </w:r>
      <w:r w:rsidRPr="00242DD3">
        <w:rPr>
          <w:rFonts w:ascii="Times New Roman" w:hAnsi="Times New Roman" w:cs="Times New Roman"/>
        </w:rPr>
        <w:t xml:space="preserve"> ed., SAGE, 20</w:t>
      </w:r>
      <w:r>
        <w:rPr>
          <w:rFonts w:ascii="Times New Roman" w:hAnsi="Times New Roman" w:cs="Times New Roman"/>
        </w:rPr>
        <w:t>25</w:t>
      </w:r>
      <w:r w:rsidR="00343A28">
        <w:rPr>
          <w:rFonts w:ascii="Times New Roman" w:hAnsi="Times New Roman" w:cs="Times New Roman"/>
        </w:rPr>
        <w:t>.</w:t>
      </w:r>
    </w:p>
    <w:p w14:paraId="39DCAC7E" w14:textId="4196F182" w:rsidR="00242DD3" w:rsidRPr="00242DD3" w:rsidRDefault="00242DD3" w:rsidP="00242DD3">
      <w:pPr>
        <w:spacing w:after="0" w:line="480" w:lineRule="auto"/>
        <w:rPr>
          <w:rFonts w:ascii="Times New Roman" w:eastAsia="Aptos" w:hAnsi="Times New Roman" w:cs="Times New Roman"/>
        </w:rPr>
      </w:pPr>
      <w:r w:rsidRPr="00242DD3">
        <w:rPr>
          <w:rFonts w:ascii="Times New Roman" w:eastAsia="Aptos" w:hAnsi="Times New Roman" w:cs="Times New Roman"/>
        </w:rPr>
        <w:t xml:space="preserve">Vena, Dan. “Rereading Superman as a Trans f/Man.” </w:t>
      </w:r>
      <w:r w:rsidRPr="00242DD3">
        <w:rPr>
          <w:rFonts w:ascii="Times New Roman" w:eastAsia="Aptos" w:hAnsi="Times New Roman" w:cs="Times New Roman"/>
          <w:i/>
          <w:iCs/>
        </w:rPr>
        <w:t>Transformative Works and Cultures</w:t>
      </w:r>
      <w:r w:rsidRPr="00242DD3">
        <w:rPr>
          <w:rFonts w:ascii="Times New Roman" w:eastAsia="Aptos" w:hAnsi="Times New Roman" w:cs="Times New Roman"/>
        </w:rPr>
        <w:t xml:space="preserve">, vol. </w:t>
      </w:r>
    </w:p>
    <w:p w14:paraId="61D22807" w14:textId="77777777" w:rsidR="00242DD3" w:rsidRPr="00242DD3" w:rsidRDefault="00242DD3" w:rsidP="00242DD3">
      <w:pPr>
        <w:spacing w:after="0" w:line="480" w:lineRule="auto"/>
        <w:rPr>
          <w:rFonts w:ascii="Times New Roman" w:eastAsia="Aptos" w:hAnsi="Times New Roman" w:cs="Times New Roman"/>
        </w:rPr>
      </w:pPr>
      <w:r w:rsidRPr="00242DD3">
        <w:rPr>
          <w:rFonts w:ascii="Times New Roman" w:eastAsia="Aptos" w:hAnsi="Times New Roman" w:cs="Times New Roman"/>
        </w:rPr>
        <w:tab/>
        <w:t>25, September 2017, https://doi.org/10.3983/twc.2017.1063.</w:t>
      </w:r>
    </w:p>
    <w:p w14:paraId="3DDE55D4" w14:textId="56566E9B" w:rsidR="003375A6" w:rsidRPr="003375A6" w:rsidRDefault="003375A6" w:rsidP="00242DD3">
      <w:pPr>
        <w:spacing w:after="0" w:line="480" w:lineRule="auto"/>
        <w:rPr>
          <w:rFonts w:ascii="Times New Roman" w:hAnsi="Times New Roman" w:cs="Times New Roman"/>
        </w:rPr>
      </w:pPr>
    </w:p>
    <w:p w14:paraId="5E035E48" w14:textId="58C2F5D5" w:rsidR="003375A6" w:rsidRPr="003375A6" w:rsidRDefault="003375A6" w:rsidP="003375A6">
      <w:pPr>
        <w:spacing w:line="480" w:lineRule="auto"/>
        <w:rPr>
          <w:rFonts w:ascii="Times New Roman" w:hAnsi="Times New Roman" w:cs="Times New Roman"/>
        </w:rPr>
      </w:pPr>
    </w:p>
    <w:p w14:paraId="2C5DC265" w14:textId="77777777" w:rsidR="00341EAD" w:rsidRPr="00323E4E" w:rsidRDefault="00341EAD" w:rsidP="00061B53">
      <w:pPr>
        <w:spacing w:line="480" w:lineRule="auto"/>
        <w:rPr>
          <w:rFonts w:ascii="Times New Roman" w:hAnsi="Times New Roman" w:cs="Times New Roman"/>
        </w:rPr>
      </w:pPr>
    </w:p>
    <w:p w14:paraId="5962B371" w14:textId="6CF4486F" w:rsidR="00FC0504" w:rsidRPr="00061B53" w:rsidRDefault="00FC0504" w:rsidP="00061B53">
      <w:pPr>
        <w:spacing w:line="480" w:lineRule="auto"/>
        <w:rPr>
          <w:rFonts w:ascii="Times New Roman" w:hAnsi="Times New Roman" w:cs="Times New Roman"/>
        </w:rPr>
      </w:pPr>
    </w:p>
    <w:p w14:paraId="6901088B" w14:textId="77777777" w:rsidR="0055250B" w:rsidRPr="0055250B" w:rsidRDefault="0055250B" w:rsidP="0055250B">
      <w:pPr>
        <w:spacing w:line="480" w:lineRule="auto"/>
        <w:rPr>
          <w:rFonts w:ascii="Times New Roman" w:hAnsi="Times New Roman" w:cs="Times New Roman"/>
        </w:rPr>
      </w:pPr>
    </w:p>
    <w:sectPr w:rsidR="0055250B" w:rsidRPr="005525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CD135" w14:textId="77777777" w:rsidR="00D07095" w:rsidRDefault="00D07095" w:rsidP="00242DD3">
      <w:pPr>
        <w:spacing w:after="0" w:line="240" w:lineRule="auto"/>
      </w:pPr>
      <w:r>
        <w:separator/>
      </w:r>
    </w:p>
  </w:endnote>
  <w:endnote w:type="continuationSeparator" w:id="0">
    <w:p w14:paraId="7CD26064" w14:textId="77777777" w:rsidR="00D07095" w:rsidRDefault="00D07095" w:rsidP="0024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4EED" w14:textId="77777777" w:rsidR="00D07095" w:rsidRDefault="00D07095" w:rsidP="00242DD3">
      <w:pPr>
        <w:spacing w:after="0" w:line="240" w:lineRule="auto"/>
      </w:pPr>
      <w:r>
        <w:separator/>
      </w:r>
    </w:p>
  </w:footnote>
  <w:footnote w:type="continuationSeparator" w:id="0">
    <w:p w14:paraId="68971B9C" w14:textId="77777777" w:rsidR="00D07095" w:rsidRDefault="00D07095" w:rsidP="0024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31216642"/>
      <w:docPartObj>
        <w:docPartGallery w:val="Page Numbers (Top of Page)"/>
        <w:docPartUnique/>
      </w:docPartObj>
    </w:sdtPr>
    <w:sdtEndPr>
      <w:rPr>
        <w:noProof/>
      </w:rPr>
    </w:sdtEndPr>
    <w:sdtContent>
      <w:p w14:paraId="13C9728D" w14:textId="3F843735" w:rsidR="00242DD3" w:rsidRPr="00242DD3" w:rsidRDefault="00242DD3">
        <w:pPr>
          <w:pStyle w:val="Header"/>
          <w:jc w:val="right"/>
          <w:rPr>
            <w:rFonts w:ascii="Times New Roman" w:hAnsi="Times New Roman" w:cs="Times New Roman"/>
          </w:rPr>
        </w:pPr>
        <w:r w:rsidRPr="00242DD3">
          <w:rPr>
            <w:rFonts w:ascii="Times New Roman" w:hAnsi="Times New Roman" w:cs="Times New Roman"/>
          </w:rPr>
          <w:t xml:space="preserve">Davies </w:t>
        </w:r>
        <w:r w:rsidRPr="00242DD3">
          <w:rPr>
            <w:rFonts w:ascii="Times New Roman" w:hAnsi="Times New Roman" w:cs="Times New Roman"/>
          </w:rPr>
          <w:fldChar w:fldCharType="begin"/>
        </w:r>
        <w:r w:rsidRPr="00242DD3">
          <w:rPr>
            <w:rFonts w:ascii="Times New Roman" w:hAnsi="Times New Roman" w:cs="Times New Roman"/>
          </w:rPr>
          <w:instrText xml:space="preserve"> PAGE   \* MERGEFORMAT </w:instrText>
        </w:r>
        <w:r w:rsidRPr="00242DD3">
          <w:rPr>
            <w:rFonts w:ascii="Times New Roman" w:hAnsi="Times New Roman" w:cs="Times New Roman"/>
          </w:rPr>
          <w:fldChar w:fldCharType="separate"/>
        </w:r>
        <w:r w:rsidRPr="00242DD3">
          <w:rPr>
            <w:rFonts w:ascii="Times New Roman" w:hAnsi="Times New Roman" w:cs="Times New Roman"/>
            <w:noProof/>
          </w:rPr>
          <w:t>2</w:t>
        </w:r>
        <w:r w:rsidRPr="00242DD3">
          <w:rPr>
            <w:rFonts w:ascii="Times New Roman" w:hAnsi="Times New Roman" w:cs="Times New Roman"/>
            <w:noProof/>
          </w:rPr>
          <w:fldChar w:fldCharType="end"/>
        </w:r>
      </w:p>
    </w:sdtContent>
  </w:sdt>
  <w:p w14:paraId="3588FE6F" w14:textId="77777777" w:rsidR="00242DD3" w:rsidRPr="00242DD3" w:rsidRDefault="00242DD3">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0B"/>
    <w:rsid w:val="00061B53"/>
    <w:rsid w:val="001C4E45"/>
    <w:rsid w:val="001F28D6"/>
    <w:rsid w:val="00242DD3"/>
    <w:rsid w:val="002B61DA"/>
    <w:rsid w:val="00323E4E"/>
    <w:rsid w:val="003375A6"/>
    <w:rsid w:val="00341EAD"/>
    <w:rsid w:val="00343A28"/>
    <w:rsid w:val="00525B01"/>
    <w:rsid w:val="0055250B"/>
    <w:rsid w:val="006727D1"/>
    <w:rsid w:val="007452FC"/>
    <w:rsid w:val="008C5343"/>
    <w:rsid w:val="00904DD1"/>
    <w:rsid w:val="0094507F"/>
    <w:rsid w:val="009B17CE"/>
    <w:rsid w:val="00AD78AE"/>
    <w:rsid w:val="00D07095"/>
    <w:rsid w:val="00D374B3"/>
    <w:rsid w:val="00FC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C261"/>
  <w15:chartTrackingRefBased/>
  <w15:docId w15:val="{8677DDEF-C883-43D8-9720-2E40B57F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50B"/>
    <w:rPr>
      <w:rFonts w:eastAsiaTheme="majorEastAsia" w:cstheme="majorBidi"/>
      <w:color w:val="272727" w:themeColor="text1" w:themeTint="D8"/>
    </w:rPr>
  </w:style>
  <w:style w:type="paragraph" w:styleId="Title">
    <w:name w:val="Title"/>
    <w:basedOn w:val="Normal"/>
    <w:next w:val="Normal"/>
    <w:link w:val="TitleChar"/>
    <w:uiPriority w:val="10"/>
    <w:qFormat/>
    <w:rsid w:val="0055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50B"/>
    <w:pPr>
      <w:spacing w:before="160"/>
      <w:jc w:val="center"/>
    </w:pPr>
    <w:rPr>
      <w:i/>
      <w:iCs/>
      <w:color w:val="404040" w:themeColor="text1" w:themeTint="BF"/>
    </w:rPr>
  </w:style>
  <w:style w:type="character" w:customStyle="1" w:styleId="QuoteChar">
    <w:name w:val="Quote Char"/>
    <w:basedOn w:val="DefaultParagraphFont"/>
    <w:link w:val="Quote"/>
    <w:uiPriority w:val="29"/>
    <w:rsid w:val="0055250B"/>
    <w:rPr>
      <w:i/>
      <w:iCs/>
      <w:color w:val="404040" w:themeColor="text1" w:themeTint="BF"/>
    </w:rPr>
  </w:style>
  <w:style w:type="paragraph" w:styleId="ListParagraph">
    <w:name w:val="List Paragraph"/>
    <w:basedOn w:val="Normal"/>
    <w:uiPriority w:val="34"/>
    <w:qFormat/>
    <w:rsid w:val="0055250B"/>
    <w:pPr>
      <w:ind w:left="720"/>
      <w:contextualSpacing/>
    </w:pPr>
  </w:style>
  <w:style w:type="character" w:styleId="IntenseEmphasis">
    <w:name w:val="Intense Emphasis"/>
    <w:basedOn w:val="DefaultParagraphFont"/>
    <w:uiPriority w:val="21"/>
    <w:qFormat/>
    <w:rsid w:val="0055250B"/>
    <w:rPr>
      <w:i/>
      <w:iCs/>
      <w:color w:val="0F4761" w:themeColor="accent1" w:themeShade="BF"/>
    </w:rPr>
  </w:style>
  <w:style w:type="paragraph" w:styleId="IntenseQuote">
    <w:name w:val="Intense Quote"/>
    <w:basedOn w:val="Normal"/>
    <w:next w:val="Normal"/>
    <w:link w:val="IntenseQuoteChar"/>
    <w:uiPriority w:val="30"/>
    <w:qFormat/>
    <w:rsid w:val="00552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50B"/>
    <w:rPr>
      <w:i/>
      <w:iCs/>
      <w:color w:val="0F4761" w:themeColor="accent1" w:themeShade="BF"/>
    </w:rPr>
  </w:style>
  <w:style w:type="character" w:styleId="IntenseReference">
    <w:name w:val="Intense Reference"/>
    <w:basedOn w:val="DefaultParagraphFont"/>
    <w:uiPriority w:val="32"/>
    <w:qFormat/>
    <w:rsid w:val="0055250B"/>
    <w:rPr>
      <w:b/>
      <w:bCs/>
      <w:smallCaps/>
      <w:color w:val="0F4761" w:themeColor="accent1" w:themeShade="BF"/>
      <w:spacing w:val="5"/>
    </w:rPr>
  </w:style>
  <w:style w:type="paragraph" w:styleId="Header">
    <w:name w:val="header"/>
    <w:basedOn w:val="Normal"/>
    <w:link w:val="HeaderChar"/>
    <w:uiPriority w:val="99"/>
    <w:unhideWhenUsed/>
    <w:rsid w:val="00242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D3"/>
  </w:style>
  <w:style w:type="paragraph" w:styleId="Footer">
    <w:name w:val="footer"/>
    <w:basedOn w:val="Normal"/>
    <w:link w:val="FooterChar"/>
    <w:uiPriority w:val="99"/>
    <w:unhideWhenUsed/>
    <w:rsid w:val="00242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DD3"/>
  </w:style>
  <w:style w:type="character" w:styleId="Hyperlink">
    <w:name w:val="Hyperlink"/>
    <w:basedOn w:val="DefaultParagraphFont"/>
    <w:uiPriority w:val="99"/>
    <w:unhideWhenUsed/>
    <w:rsid w:val="00343A28"/>
    <w:rPr>
      <w:color w:val="467886" w:themeColor="hyperlink"/>
      <w:u w:val="single"/>
    </w:rPr>
  </w:style>
  <w:style w:type="character" w:styleId="UnresolvedMention">
    <w:name w:val="Unresolved Mention"/>
    <w:basedOn w:val="DefaultParagraphFont"/>
    <w:uiPriority w:val="99"/>
    <w:semiHidden/>
    <w:unhideWhenUsed/>
    <w:rsid w:val="0034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08/ETPC-08-2020-00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tionary.ap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Davies</dc:creator>
  <cp:keywords/>
  <dc:description/>
  <cp:lastModifiedBy>John Davies</cp:lastModifiedBy>
  <cp:revision>2</cp:revision>
  <dcterms:created xsi:type="dcterms:W3CDTF">2026-05-04T17:38:00Z</dcterms:created>
  <dcterms:modified xsi:type="dcterms:W3CDTF">2026-05-04T17:38:00Z</dcterms:modified>
</cp:coreProperties>
</file>